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15" w:rsidRDefault="003112D2" w:rsidP="003937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GUARDARE</w:t>
      </w:r>
      <w:r w:rsidR="00837615">
        <w:rPr>
          <w:b/>
          <w:sz w:val="28"/>
          <w:szCs w:val="28"/>
        </w:rPr>
        <w:t xml:space="preserve"> UN RAGGIO DI LUCE E VEDER</w:t>
      </w:r>
      <w:r>
        <w:rPr>
          <w:b/>
          <w:sz w:val="28"/>
          <w:szCs w:val="28"/>
        </w:rPr>
        <w:t>N</w:t>
      </w:r>
      <w:r w:rsidR="00837615">
        <w:rPr>
          <w:b/>
          <w:sz w:val="28"/>
          <w:szCs w:val="28"/>
        </w:rPr>
        <w:t>E IL CAMPO ELETTRICO</w:t>
      </w:r>
    </w:p>
    <w:p w:rsidR="00393712" w:rsidRPr="00393712" w:rsidRDefault="00D81E35" w:rsidP="003937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Guido </w:t>
      </w:r>
      <w:proofErr w:type="spellStart"/>
      <w:r>
        <w:rPr>
          <w:sz w:val="28"/>
          <w:szCs w:val="28"/>
        </w:rPr>
        <w:t>Pegna</w:t>
      </w:r>
      <w:bookmarkStart w:id="0" w:name="_GoBack"/>
      <w:bookmarkEnd w:id="0"/>
      <w:proofErr w:type="spellEnd"/>
    </w:p>
    <w:p w:rsidR="00310650" w:rsidRPr="00D170FD" w:rsidRDefault="00310650" w:rsidP="0031065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70FD">
        <w:rPr>
          <w:rFonts w:ascii="Times New Roman" w:hAnsi="Times New Roman" w:cs="Times New Roman"/>
          <w:b/>
          <w:sz w:val="28"/>
          <w:szCs w:val="28"/>
        </w:rPr>
        <w:t>Introduzione</w:t>
      </w:r>
      <w:r w:rsidR="00393712" w:rsidRPr="00D170F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3712" w:rsidRPr="00B851BF" w:rsidRDefault="00393712" w:rsidP="009A0E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1BF">
        <w:rPr>
          <w:rFonts w:ascii="Times New Roman" w:hAnsi="Times New Roman" w:cs="Times New Roman"/>
          <w:sz w:val="28"/>
          <w:szCs w:val="28"/>
        </w:rPr>
        <w:t xml:space="preserve"> </w:t>
      </w:r>
      <w:r w:rsidR="00310650" w:rsidRPr="00B851BF">
        <w:rPr>
          <w:rFonts w:ascii="Times New Roman" w:hAnsi="Times New Roman" w:cs="Times New Roman"/>
          <w:sz w:val="28"/>
          <w:szCs w:val="28"/>
        </w:rPr>
        <w:t xml:space="preserve">    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Si parla </w:t>
      </w:r>
      <w:r w:rsidR="00FD53D1" w:rsidRPr="009C46E6">
        <w:rPr>
          <w:rFonts w:ascii="Times New Roman" w:hAnsi="Times New Roman" w:cs="Times New Roman"/>
          <w:sz w:val="28"/>
          <w:szCs w:val="28"/>
        </w:rPr>
        <w:t>usualmente</w:t>
      </w:r>
      <w:r w:rsidR="00FD53D1" w:rsidRPr="00B851BF">
        <w:rPr>
          <w:rFonts w:ascii="Times New Roman" w:hAnsi="Times New Roman" w:cs="Times New Roman"/>
          <w:sz w:val="28"/>
          <w:szCs w:val="28"/>
        </w:rPr>
        <w:t xml:space="preserve"> 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194A7B" w:rsidRPr="00B851BF">
        <w:rPr>
          <w:rFonts w:ascii="Times New Roman" w:hAnsi="Times New Roman" w:cs="Times New Roman"/>
          <w:sz w:val="28"/>
          <w:szCs w:val="28"/>
        </w:rPr>
        <w:t>scattering</w:t>
      </w:r>
      <w:proofErr w:type="spellEnd"/>
      <w:r w:rsidR="00194A7B" w:rsidRPr="00B851BF">
        <w:rPr>
          <w:rFonts w:ascii="Times New Roman" w:hAnsi="Times New Roman" w:cs="Times New Roman"/>
          <w:sz w:val="28"/>
          <w:szCs w:val="28"/>
        </w:rPr>
        <w:t xml:space="preserve"> Mie per il fenomeno della diffusione di </w:t>
      </w:r>
      <w:r w:rsidR="00FD53D1" w:rsidRPr="00B851BF">
        <w:rPr>
          <w:rFonts w:ascii="Times New Roman" w:hAnsi="Times New Roman" w:cs="Times New Roman"/>
          <w:sz w:val="28"/>
          <w:szCs w:val="28"/>
        </w:rPr>
        <w:t>u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n raggio di luce da parte di particelle di dimensioni paragonabili o maggiori della lunghezza d’onda della luce incidente, per distinguerlo dallo </w:t>
      </w:r>
      <w:proofErr w:type="spellStart"/>
      <w:r w:rsidR="00194A7B" w:rsidRPr="00B851BF">
        <w:rPr>
          <w:rFonts w:ascii="Times New Roman" w:hAnsi="Times New Roman" w:cs="Times New Roman"/>
          <w:sz w:val="28"/>
          <w:szCs w:val="28"/>
        </w:rPr>
        <w:t>scattering</w:t>
      </w:r>
      <w:proofErr w:type="spellEnd"/>
      <w:r w:rsidR="00194A7B" w:rsidRPr="00B8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A7B" w:rsidRPr="00B851BF">
        <w:rPr>
          <w:rFonts w:ascii="Times New Roman" w:hAnsi="Times New Roman" w:cs="Times New Roman"/>
          <w:sz w:val="28"/>
          <w:szCs w:val="28"/>
        </w:rPr>
        <w:t>Rayleigh</w:t>
      </w:r>
      <w:proofErr w:type="spellEnd"/>
      <w:r w:rsidR="00194A7B" w:rsidRPr="00B851BF">
        <w:rPr>
          <w:rFonts w:ascii="Times New Roman" w:hAnsi="Times New Roman" w:cs="Times New Roman"/>
          <w:sz w:val="28"/>
          <w:szCs w:val="28"/>
        </w:rPr>
        <w:t xml:space="preserve"> che avviene per particelle di dimensioni </w:t>
      </w:r>
      <w:r w:rsidR="00FD53D1" w:rsidRPr="00B851BF">
        <w:rPr>
          <w:rFonts w:ascii="Times New Roman" w:hAnsi="Times New Roman" w:cs="Times New Roman"/>
          <w:sz w:val="28"/>
          <w:szCs w:val="28"/>
        </w:rPr>
        <w:t>molt</w:t>
      </w:r>
      <w:r w:rsidR="009A0E62">
        <w:rPr>
          <w:rFonts w:ascii="Times New Roman" w:hAnsi="Times New Roman" w:cs="Times New Roman"/>
          <w:sz w:val="28"/>
          <w:szCs w:val="28"/>
        </w:rPr>
        <w:t>o minori della lunghezza d’onda</w:t>
      </w:r>
      <w:r w:rsidR="00194A7B" w:rsidRPr="00B851BF">
        <w:rPr>
          <w:rFonts w:ascii="Times New Roman" w:hAnsi="Times New Roman" w:cs="Times New Roman"/>
          <w:sz w:val="28"/>
          <w:szCs w:val="28"/>
        </w:rPr>
        <w:t>. L</w:t>
      </w:r>
      <w:r w:rsidR="00FD53D1" w:rsidRPr="00B851BF">
        <w:rPr>
          <w:rFonts w:ascii="Times New Roman" w:hAnsi="Times New Roman" w:cs="Times New Roman"/>
          <w:sz w:val="28"/>
          <w:szCs w:val="28"/>
        </w:rPr>
        <w:t xml:space="preserve">a teoria dello </w:t>
      </w:r>
      <w:proofErr w:type="spellStart"/>
      <w:r w:rsidR="00194A7B" w:rsidRPr="00B851BF">
        <w:rPr>
          <w:rFonts w:ascii="Times New Roman" w:hAnsi="Times New Roman" w:cs="Times New Roman"/>
          <w:bCs/>
          <w:sz w:val="28"/>
          <w:szCs w:val="28"/>
        </w:rPr>
        <w:t>scattering</w:t>
      </w:r>
      <w:proofErr w:type="spellEnd"/>
      <w:r w:rsidR="00194A7B" w:rsidRPr="00B851BF">
        <w:rPr>
          <w:rFonts w:ascii="Times New Roman" w:hAnsi="Times New Roman" w:cs="Times New Roman"/>
          <w:bCs/>
          <w:sz w:val="28"/>
          <w:szCs w:val="28"/>
        </w:rPr>
        <w:t xml:space="preserve"> Mie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, noto anche come </w:t>
      </w:r>
      <w:proofErr w:type="spellStart"/>
      <w:r w:rsidR="00194A7B" w:rsidRPr="00B851BF">
        <w:rPr>
          <w:rFonts w:ascii="Times New Roman" w:hAnsi="Times New Roman" w:cs="Times New Roman"/>
          <w:bCs/>
          <w:sz w:val="28"/>
          <w:szCs w:val="28"/>
        </w:rPr>
        <w:t>scattering</w:t>
      </w:r>
      <w:proofErr w:type="spellEnd"/>
      <w:r w:rsidR="00194A7B" w:rsidRPr="00B851BF">
        <w:rPr>
          <w:rFonts w:ascii="Times New Roman" w:hAnsi="Times New Roman" w:cs="Times New Roman"/>
          <w:bCs/>
          <w:sz w:val="28"/>
          <w:szCs w:val="28"/>
        </w:rPr>
        <w:t xml:space="preserve"> di Lorenz-Mie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, è una soluzione completa e matematicamente rigorosa del problema dello </w:t>
      </w:r>
      <w:hyperlink r:id="rId6" w:tooltip="Scattering" w:history="1">
        <w:proofErr w:type="spellStart"/>
        <w:r w:rsidR="00194A7B" w:rsidRPr="00B851BF">
          <w:rPr>
            <w:rStyle w:val="Collegamentoipertestual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scattering</w:t>
        </w:r>
        <w:proofErr w:type="spellEnd"/>
      </w:hyperlink>
      <w:r w:rsidR="00194A7B" w:rsidRPr="00B8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un'</w:t>
      </w:r>
      <w:hyperlink r:id="rId7" w:tooltip="Elettromagnetismo" w:history="1">
        <w:r w:rsidR="00194A7B" w:rsidRPr="00B851BF">
          <w:rPr>
            <w:rStyle w:val="Collegamentoipertestual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onda elettromagnetica</w:t>
        </w:r>
      </w:hyperlink>
      <w:r w:rsidR="00194A7B" w:rsidRPr="00B8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 parte di </w:t>
      </w:r>
      <w:r w:rsidR="00194A7B" w:rsidRPr="00B8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una </w:t>
      </w:r>
      <w:hyperlink r:id="rId8" w:tooltip="Sfera" w:history="1">
        <w:r w:rsidR="00194A7B" w:rsidRPr="00B851BF">
          <w:rPr>
            <w:rStyle w:val="Collegamentoipertestual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sfera</w:t>
        </w:r>
      </w:hyperlink>
      <w:r w:rsidR="00194A7B" w:rsidRPr="00B8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su di un cilindro. </w:t>
      </w:r>
    </w:p>
    <w:p w:rsidR="00310650" w:rsidRDefault="00393712" w:rsidP="009A0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94A7B" w:rsidRPr="00B851BF">
        <w:rPr>
          <w:rFonts w:ascii="Times New Roman" w:hAnsi="Times New Roman" w:cs="Times New Roman"/>
          <w:color w:val="000000" w:themeColor="text1"/>
          <w:sz w:val="28"/>
          <w:szCs w:val="28"/>
        </w:rPr>
        <w:t>Il fatto interessante è che l</w:t>
      </w:r>
      <w:r w:rsidR="00E6235D" w:rsidRPr="00B851BF">
        <w:rPr>
          <w:rFonts w:ascii="Times New Roman" w:hAnsi="Times New Roman" w:cs="Times New Roman"/>
          <w:sz w:val="28"/>
          <w:szCs w:val="28"/>
        </w:rPr>
        <w:t xml:space="preserve">’intensità della luce diffusa </w:t>
      </w:r>
      <w:r w:rsidR="00310650" w:rsidRPr="00B851BF">
        <w:rPr>
          <w:rFonts w:ascii="Times New Roman" w:hAnsi="Times New Roman" w:cs="Times New Roman"/>
          <w:sz w:val="28"/>
          <w:szCs w:val="28"/>
        </w:rPr>
        <w:t>“a la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 </w:t>
      </w:r>
      <w:r w:rsidR="00194A7B" w:rsidRPr="00B851BF">
        <w:rPr>
          <w:rFonts w:ascii="Times New Roman" w:hAnsi="Times New Roman" w:cs="Times New Roman"/>
          <w:i/>
          <w:sz w:val="28"/>
          <w:szCs w:val="28"/>
        </w:rPr>
        <w:t>Mie</w:t>
      </w:r>
      <w:r w:rsidR="00310650" w:rsidRPr="00B851BF">
        <w:rPr>
          <w:rFonts w:ascii="Times New Roman" w:hAnsi="Times New Roman" w:cs="Times New Roman"/>
          <w:i/>
          <w:sz w:val="28"/>
          <w:szCs w:val="28"/>
        </w:rPr>
        <w:t>”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 </w:t>
      </w:r>
      <w:r w:rsidR="00E6235D" w:rsidRPr="00B851BF">
        <w:rPr>
          <w:rFonts w:ascii="Times New Roman" w:hAnsi="Times New Roman" w:cs="Times New Roman"/>
          <w:sz w:val="28"/>
          <w:szCs w:val="28"/>
        </w:rPr>
        <w:t xml:space="preserve">dipende dallo stato di polarizzazione del fascio incidente. </w:t>
      </w:r>
      <w:r w:rsidR="00194A7B" w:rsidRPr="00B851BF">
        <w:rPr>
          <w:rFonts w:ascii="Times New Roman" w:hAnsi="Times New Roman" w:cs="Times New Roman"/>
          <w:sz w:val="28"/>
          <w:szCs w:val="28"/>
        </w:rPr>
        <w:t xml:space="preserve">Infatti nelle equazioni che descrivono il fenomeno, derivate dalle equazioni di Maxwell, compare il vettore d’onda sia </w:t>
      </w:r>
      <w:r w:rsidRPr="00B851BF">
        <w:rPr>
          <w:rFonts w:ascii="Times New Roman" w:hAnsi="Times New Roman" w:cs="Times New Roman"/>
          <w:sz w:val="28"/>
          <w:szCs w:val="28"/>
        </w:rPr>
        <w:t xml:space="preserve"> del</w:t>
      </w:r>
      <w:r w:rsidR="00194A7B" w:rsidRPr="00B851BF">
        <w:rPr>
          <w:rFonts w:ascii="Times New Roman" w:hAnsi="Times New Roman" w:cs="Times New Roman"/>
          <w:sz w:val="28"/>
          <w:szCs w:val="28"/>
        </w:rPr>
        <w:t>la componente campo elettrico E che per quella del campo magnetico H dell’onda incidente.</w:t>
      </w:r>
      <w:r w:rsidR="00310650" w:rsidRPr="00B851BF">
        <w:rPr>
          <w:rFonts w:ascii="Times New Roman" w:hAnsi="Times New Roman" w:cs="Times New Roman"/>
          <w:sz w:val="28"/>
          <w:szCs w:val="28"/>
        </w:rPr>
        <w:t xml:space="preserve"> Questo suggerisce la possibilità di visualizzare, cioè letteralmente di </w:t>
      </w:r>
      <w:r w:rsidR="00310650" w:rsidRPr="00B851BF">
        <w:rPr>
          <w:rFonts w:ascii="Times New Roman" w:hAnsi="Times New Roman" w:cs="Times New Roman"/>
          <w:i/>
          <w:sz w:val="28"/>
          <w:szCs w:val="28"/>
        </w:rPr>
        <w:t xml:space="preserve">vedere </w:t>
      </w:r>
      <w:r w:rsidR="00310650" w:rsidRPr="00B851BF">
        <w:rPr>
          <w:rFonts w:ascii="Times New Roman" w:hAnsi="Times New Roman" w:cs="Times New Roman"/>
          <w:sz w:val="28"/>
          <w:szCs w:val="28"/>
        </w:rPr>
        <w:t xml:space="preserve">il campo elettrico di un fascio di luce. Il modo più semplice potrebbe essere quello di inviare un fascio laser attraverso un mezzo diffondente e di osservare l’intensità diffusa lateralmente al variare del piano di polarizzazione del fascio laser. L’esperimento che descriviamo qui di seguito è solamente di poco più complesso, ma di impatto visivo molto più evidente e interessante.  </w:t>
      </w:r>
    </w:p>
    <w:p w:rsidR="00B851BF" w:rsidRPr="00D170FD" w:rsidRDefault="00B851BF" w:rsidP="00B851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650" w:rsidRPr="00D170FD" w:rsidRDefault="00B851BF" w:rsidP="0031065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D170FD">
        <w:rPr>
          <w:b/>
          <w:sz w:val="28"/>
          <w:szCs w:val="28"/>
        </w:rPr>
        <w:t>Teoria</w:t>
      </w:r>
    </w:p>
    <w:p w:rsidR="0003527E" w:rsidRDefault="00310650" w:rsidP="00FF361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A9120E">
        <w:rPr>
          <w:sz w:val="28"/>
          <w:szCs w:val="28"/>
        </w:rPr>
        <w:t xml:space="preserve">    </w:t>
      </w:r>
      <w:r w:rsidR="0003527E">
        <w:rPr>
          <w:sz w:val="28"/>
          <w:szCs w:val="28"/>
        </w:rPr>
        <w:t xml:space="preserve">Vi sono sostanze che </w:t>
      </w:r>
      <w:r w:rsidR="00B851BF">
        <w:rPr>
          <w:sz w:val="28"/>
          <w:szCs w:val="28"/>
        </w:rPr>
        <w:t xml:space="preserve">in soluzione </w:t>
      </w:r>
      <w:r w:rsidR="0003527E">
        <w:rPr>
          <w:sz w:val="28"/>
          <w:szCs w:val="28"/>
        </w:rPr>
        <w:t xml:space="preserve">fanno ruotare il piano di polarizzazione di una radiazione polarizzata linearmente che le attraversa. Queste sostanze sono dette </w:t>
      </w:r>
      <w:r w:rsidR="0003527E" w:rsidRPr="0003527E">
        <w:rPr>
          <w:i/>
          <w:sz w:val="28"/>
          <w:szCs w:val="28"/>
        </w:rPr>
        <w:t>otticamente attive</w:t>
      </w:r>
      <w:r w:rsidR="0003527E">
        <w:rPr>
          <w:sz w:val="28"/>
          <w:szCs w:val="28"/>
        </w:rPr>
        <w:t xml:space="preserve">. </w:t>
      </w:r>
      <w:r w:rsidR="0003527E" w:rsidRPr="00A9120E">
        <w:rPr>
          <w:sz w:val="28"/>
          <w:szCs w:val="28"/>
        </w:rPr>
        <w:t xml:space="preserve">Dal punto di vista </w:t>
      </w:r>
      <w:hyperlink r:id="rId9" w:tooltip="Ottica" w:history="1">
        <w:r w:rsidR="0003527E" w:rsidRPr="0003527E">
          <w:rPr>
            <w:color w:val="000000" w:themeColor="text1"/>
            <w:sz w:val="28"/>
            <w:szCs w:val="28"/>
          </w:rPr>
          <w:t>ottico</w:t>
        </w:r>
      </w:hyperlink>
      <w:r w:rsidR="0003527E" w:rsidRPr="00A9120E">
        <w:rPr>
          <w:sz w:val="28"/>
          <w:szCs w:val="28"/>
        </w:rPr>
        <w:t xml:space="preserve"> </w:t>
      </w:r>
      <w:r w:rsidR="0003527E">
        <w:rPr>
          <w:sz w:val="28"/>
          <w:szCs w:val="28"/>
        </w:rPr>
        <w:t xml:space="preserve">questa proprietà </w:t>
      </w:r>
      <w:r w:rsidR="0003527E" w:rsidRPr="00A9120E">
        <w:rPr>
          <w:sz w:val="28"/>
          <w:szCs w:val="28"/>
        </w:rPr>
        <w:t xml:space="preserve">rappresenta un caso particolare di </w:t>
      </w:r>
      <w:hyperlink r:id="rId10" w:tooltip="Birifrangenza" w:history="1">
        <w:r w:rsidR="0003527E" w:rsidRPr="0003527E">
          <w:rPr>
            <w:i/>
            <w:sz w:val="28"/>
            <w:szCs w:val="28"/>
          </w:rPr>
          <w:t>birifrangenza</w:t>
        </w:r>
      </w:hyperlink>
      <w:r w:rsidR="0003527E" w:rsidRPr="00A9120E">
        <w:rPr>
          <w:sz w:val="28"/>
          <w:szCs w:val="28"/>
        </w:rPr>
        <w:t xml:space="preserve"> dovuta al diverso </w:t>
      </w:r>
      <w:hyperlink r:id="rId11" w:tooltip="Indice di rifrazione" w:history="1">
        <w:r w:rsidR="0003527E" w:rsidRPr="0003527E">
          <w:rPr>
            <w:color w:val="000000" w:themeColor="text1"/>
            <w:sz w:val="28"/>
            <w:szCs w:val="28"/>
          </w:rPr>
          <w:t>indice di rifrazione</w:t>
        </w:r>
      </w:hyperlink>
      <w:r w:rsidR="0003527E" w:rsidRPr="00A9120E">
        <w:rPr>
          <w:sz w:val="28"/>
          <w:szCs w:val="28"/>
        </w:rPr>
        <w:t xml:space="preserve"> delle componenti destrogira e levogira della luce linearmente polarizzata</w:t>
      </w:r>
      <w:r w:rsidR="0003527E">
        <w:rPr>
          <w:sz w:val="28"/>
          <w:szCs w:val="28"/>
        </w:rPr>
        <w:t xml:space="preserve">. </w:t>
      </w:r>
      <w:r w:rsidR="004E15C9">
        <w:rPr>
          <w:sz w:val="28"/>
          <w:szCs w:val="28"/>
        </w:rPr>
        <w:t xml:space="preserve"> Le sostanze otticamente attive più comuni sono tutti gli zuccheri.  </w:t>
      </w:r>
    </w:p>
    <w:p w:rsidR="0003527E" w:rsidRPr="004D2C0D" w:rsidRDefault="0003527E" w:rsidP="00FF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</w:t>
      </w:r>
      <w:r w:rsidRPr="0003527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 w:rsidRPr="0003527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legge di </w:t>
      </w:r>
      <w:hyperlink r:id="rId12" w:tooltip="Jean-Baptiste Biot" w:history="1">
        <w:r w:rsidRPr="0003527E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it-IT"/>
          </w:rPr>
          <w:t>Biot</w:t>
        </w:r>
      </w:hyperlink>
      <w:r w:rsidRPr="0003527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DB21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esprime l’angolo di rotazione </w:t>
      </w:r>
      <w:r w:rsidR="00DB219E" w:rsidRPr="00B851BF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61"/>
      </w:r>
      <w:r w:rsidR="00DB219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DB219E" w:rsidRPr="00DB219E">
        <w:rPr>
          <w:rFonts w:ascii="Times New Roman" w:eastAsia="Times New Roman" w:hAnsi="Times New Roman" w:cs="Times New Roman"/>
          <w:sz w:val="28"/>
          <w:szCs w:val="28"/>
          <w:lang w:eastAsia="it-IT"/>
        </w:rPr>
        <w:t>proporzionale alla</w:t>
      </w:r>
      <w:r w:rsidR="00DB219E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DB21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lunghezza </w:t>
      </w:r>
      <w:r w:rsidR="00DB219E" w:rsidRPr="00B851BF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l</w:t>
      </w:r>
      <w:r w:rsidR="00DB21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cammino della luce nella sostanza, alla concentrazione </w:t>
      </w:r>
      <w:r w:rsidR="00DB219E" w:rsidRPr="00B851BF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c</w:t>
      </w:r>
      <w:r w:rsidR="00DB21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espressa in g/cm</w:t>
      </w:r>
      <w:r w:rsidR="00DB219E" w:rsidRPr="00DB219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/>
        </w:rPr>
        <w:t>3</w:t>
      </w:r>
      <w:r w:rsidR="00DB21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e alla costante  </w:t>
      </w:r>
      <w:r w:rsidR="00DB219E"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[</w:t>
      </w:r>
      <w:r w:rsidR="00DB219E"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sym w:font="Symbol" w:char="F061"/>
      </w:r>
      <w:r w:rsidR="00DB219E"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]</w:t>
      </w:r>
      <w:r w:rsidR="00DB219E" w:rsidRPr="00B851BF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it-IT"/>
        </w:rPr>
        <w:t>D</w:t>
      </w:r>
      <w:r w:rsidR="00DB219E" w:rsidRPr="00B851BF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it-IT"/>
        </w:rPr>
        <w:t>20</w:t>
      </w:r>
      <w:r w:rsidR="00DB21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it-IT"/>
        </w:rPr>
        <w:t xml:space="preserve"> </w:t>
      </w:r>
      <w:r w:rsidR="00DB219E" w:rsidRPr="00DB219E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="00B851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aratteristica della sostanza detta </w:t>
      </w:r>
      <w:r w:rsidRPr="0003527E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potere rotatorio specifico</w:t>
      </w:r>
      <w:r w:rsidR="000B1D09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. </w:t>
      </w:r>
      <w:r w:rsidR="000B1D09" w:rsidRP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Questo </w:t>
      </w:r>
      <w:r w:rsidR="008A58B1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</w:t>
      </w:r>
      <w:r w:rsid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è</w:t>
      </w:r>
      <w:r w:rsidR="000B1D09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</w:t>
      </w:r>
      <w:r w:rsid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definito </w:t>
      </w:r>
      <w:r w:rsidR="000B1D09" w:rsidRP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come </w:t>
      </w:r>
      <w:r w:rsidR="000B1D09" w:rsidRPr="000B1D09">
        <w:rPr>
          <w:sz w:val="28"/>
          <w:szCs w:val="28"/>
        </w:rPr>
        <w:t>l</w:t>
      </w:r>
      <w:r w:rsidR="002F199F">
        <w:rPr>
          <w:sz w:val="28"/>
          <w:szCs w:val="28"/>
        </w:rPr>
        <w:t>’angolo di</w:t>
      </w:r>
      <w:r w:rsidR="000B1D09" w:rsidRPr="000B1D09">
        <w:rPr>
          <w:sz w:val="28"/>
          <w:szCs w:val="28"/>
        </w:rPr>
        <w:t xml:space="preserve"> rotazione del piano </w:t>
      </w:r>
      <w:r w:rsidR="000B1D09">
        <w:rPr>
          <w:sz w:val="28"/>
          <w:szCs w:val="28"/>
        </w:rPr>
        <w:t xml:space="preserve">di polarizzazione che la </w:t>
      </w:r>
      <w:r w:rsidR="000B1D09" w:rsidRPr="000B1D09">
        <w:rPr>
          <w:sz w:val="28"/>
          <w:szCs w:val="28"/>
        </w:rPr>
        <w:t xml:space="preserve"> luce </w:t>
      </w:r>
      <w:r w:rsidR="000B1D09">
        <w:rPr>
          <w:sz w:val="28"/>
          <w:szCs w:val="28"/>
        </w:rPr>
        <w:t xml:space="preserve">subisce nell’attraversare </w:t>
      </w:r>
      <w:r w:rsidR="000B1D09" w:rsidRPr="000B1D09">
        <w:rPr>
          <w:sz w:val="28"/>
          <w:szCs w:val="28"/>
        </w:rPr>
        <w:t xml:space="preserve">una soluzione che contiene </w:t>
      </w:r>
      <w:r w:rsidR="000B1D09">
        <w:rPr>
          <w:sz w:val="28"/>
          <w:szCs w:val="28"/>
        </w:rPr>
        <w:t>1 g/cm</w:t>
      </w:r>
      <w:r w:rsidR="000B1D09" w:rsidRPr="000B1D09">
        <w:rPr>
          <w:sz w:val="28"/>
          <w:szCs w:val="28"/>
          <w:vertAlign w:val="superscript"/>
        </w:rPr>
        <w:t>3</w:t>
      </w:r>
      <w:r w:rsidR="000B1D09">
        <w:rPr>
          <w:sz w:val="28"/>
          <w:szCs w:val="28"/>
        </w:rPr>
        <w:t xml:space="preserve"> </w:t>
      </w:r>
      <w:r w:rsidR="000B1D09" w:rsidRPr="000B1D09">
        <w:rPr>
          <w:sz w:val="28"/>
          <w:szCs w:val="28"/>
        </w:rPr>
        <w:t xml:space="preserve">di sostanza otticamente attiva, posta in un tubo polarimetrico </w:t>
      </w:r>
      <w:r w:rsidR="000B1D09">
        <w:rPr>
          <w:sz w:val="28"/>
          <w:szCs w:val="28"/>
        </w:rPr>
        <w:t>lungo</w:t>
      </w:r>
      <w:r w:rsidR="000B1D09" w:rsidRPr="000B1D09">
        <w:rPr>
          <w:sz w:val="28"/>
          <w:szCs w:val="28"/>
        </w:rPr>
        <w:t xml:space="preserve"> </w:t>
      </w:r>
      <w:r w:rsidR="000B1D09">
        <w:rPr>
          <w:sz w:val="28"/>
          <w:szCs w:val="28"/>
        </w:rPr>
        <w:t>10 cm</w:t>
      </w:r>
      <w:r w:rsidR="000B1D09" w:rsidRPr="000B1D09">
        <w:rPr>
          <w:sz w:val="28"/>
          <w:szCs w:val="28"/>
        </w:rPr>
        <w:t xml:space="preserve">, alla temperatura di </w:t>
      </w:r>
      <w:r w:rsidR="000B1D09">
        <w:rPr>
          <w:sz w:val="28"/>
          <w:szCs w:val="28"/>
        </w:rPr>
        <w:t>20°C</w:t>
      </w:r>
      <w:r w:rsidR="000B1D09" w:rsidRPr="000B1D09">
        <w:rPr>
          <w:sz w:val="28"/>
          <w:szCs w:val="28"/>
        </w:rPr>
        <w:t xml:space="preserve"> e </w:t>
      </w:r>
      <w:r w:rsidR="002F199F">
        <w:rPr>
          <w:sz w:val="28"/>
          <w:szCs w:val="28"/>
        </w:rPr>
        <w:t xml:space="preserve">con </w:t>
      </w:r>
      <w:r w:rsidR="000B1D09" w:rsidRPr="000B1D09">
        <w:rPr>
          <w:sz w:val="28"/>
          <w:szCs w:val="28"/>
        </w:rPr>
        <w:t xml:space="preserve"> luce </w:t>
      </w:r>
      <w:r w:rsidR="002F199F">
        <w:rPr>
          <w:sz w:val="28"/>
          <w:szCs w:val="28"/>
        </w:rPr>
        <w:t xml:space="preserve">della </w:t>
      </w:r>
      <w:r w:rsidR="000B1D09" w:rsidRPr="000B1D09">
        <w:rPr>
          <w:sz w:val="28"/>
          <w:szCs w:val="28"/>
        </w:rPr>
        <w:t>lunghezza d'onda 589 nm (linea D del</w:t>
      </w:r>
      <w:r w:rsidR="000B1D09">
        <w:rPr>
          <w:sz w:val="28"/>
          <w:szCs w:val="28"/>
        </w:rPr>
        <w:t xml:space="preserve"> sodio) </w:t>
      </w:r>
      <w:r w:rsidR="008A58B1" w:rsidRP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alla temperatura di 20 °C</w:t>
      </w:r>
      <w:r w:rsidR="008A58B1" w:rsidRPr="008A58B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come indicato rispettivamente al pedice </w:t>
      </w:r>
      <w:r w:rsidR="002F199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e all’apice </w:t>
      </w:r>
      <w:r w:rsidR="000B1D0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del simbolo.</w:t>
      </w:r>
      <w:r w:rsidRPr="008A58B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2F199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conseguenza l’angolo di rotazione </w:t>
      </w:r>
      <w:r w:rsidR="002F199F" w:rsidRPr="004D2C0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sym w:font="Symbol" w:char="F061"/>
      </w:r>
      <w:r w:rsidR="002F199F" w:rsidRPr="004D2C0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4D2C0D" w:rsidRPr="004D2C0D">
        <w:rPr>
          <w:rFonts w:ascii="Times New Roman" w:eastAsia="Times New Roman" w:hAnsi="Times New Roman" w:cs="Times New Roman"/>
          <w:sz w:val="28"/>
          <w:szCs w:val="28"/>
          <w:lang w:eastAsia="it-IT"/>
        </w:rPr>
        <w:t>sarà dato da</w:t>
      </w:r>
      <w:r w:rsidR="004D2C0D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034B44" w:rsidRPr="001C79F9" w:rsidRDefault="00DB219E" w:rsidP="00034B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sym w:font="Symbol" w:char="F061"/>
      </w:r>
      <w:r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 = </w:t>
      </w:r>
      <w:r w:rsidRPr="00B851BF">
        <w:rPr>
          <w:rFonts w:ascii="Times New Roman" w:eastAsia="Times New Roman" w:hAnsi="Times New Roman" w:cs="Times New Roman"/>
          <w:i/>
          <w:vanish/>
          <w:sz w:val="32"/>
          <w:szCs w:val="32"/>
          <w:lang w:eastAsia="it-IT"/>
        </w:rPr>
        <w:t xml:space="preserve"> </w:t>
      </w:r>
      <w:r w:rsidR="0003527E" w:rsidRPr="00B851BF">
        <w:rPr>
          <w:rFonts w:ascii="Times New Roman" w:eastAsia="Times New Roman" w:hAnsi="Times New Roman" w:cs="Times New Roman"/>
          <w:i/>
          <w:vanish/>
          <w:sz w:val="32"/>
          <w:szCs w:val="32"/>
          <w:lang w:eastAsia="it-IT"/>
        </w:rPr>
        <w:t xml:space="preserve">[ α ] D 20 = α l </w:t>
      </w:r>
      <w:r w:rsidR="0003527E" w:rsidRPr="00B851BF">
        <w:rPr>
          <w:rFonts w:ascii="Cambria Math" w:eastAsia="Times New Roman" w:hAnsi="Cambria Math" w:cs="Cambria Math"/>
          <w:i/>
          <w:vanish/>
          <w:sz w:val="32"/>
          <w:szCs w:val="32"/>
          <w:lang w:eastAsia="it-IT"/>
        </w:rPr>
        <w:t>⋅</w:t>
      </w:r>
      <w:r w:rsidR="0003527E" w:rsidRPr="00B851BF">
        <w:rPr>
          <w:rFonts w:ascii="Times New Roman" w:eastAsia="Times New Roman" w:hAnsi="Times New Roman" w:cs="Times New Roman"/>
          <w:i/>
          <w:vanish/>
          <w:sz w:val="32"/>
          <w:szCs w:val="32"/>
          <w:lang w:eastAsia="it-IT"/>
        </w:rPr>
        <w:t xml:space="preserve"> c {\displaystyle {[\alpha ]_{D}}^{20}={\frac {\alpha }{l\cdot c}}} </w:t>
      </w:r>
      <w:r w:rsidR="0003527E"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[</w:t>
      </w:r>
      <w:r w:rsidR="0003527E"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sym w:font="Symbol" w:char="F061"/>
      </w:r>
      <w:r w:rsidR="0003527E"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]</w:t>
      </w:r>
      <w:r w:rsidR="0003527E" w:rsidRPr="00B851BF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it-IT"/>
        </w:rPr>
        <w:t>D</w:t>
      </w:r>
      <w:r w:rsidR="0003527E" w:rsidRPr="00B851BF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it-IT"/>
        </w:rPr>
        <w:t>20</w:t>
      </w:r>
      <w:r w:rsidR="00D170FD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∙ </w:t>
      </w:r>
      <w:r w:rsidR="00D170FD" w:rsidRPr="00D170FD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l ∙ </w:t>
      </w:r>
      <w:r w:rsidR="00D170FD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c</w:t>
      </w:r>
      <w:r w:rsidR="004D2C0D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/</w:t>
      </w:r>
      <w:r w:rsidR="004D2C0D" w:rsidRPr="004D2C0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10</w:t>
      </w:r>
      <w:r w:rsidR="001C79F9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                       </w:t>
      </w:r>
      <w:r w:rsidR="00457430">
        <w:rPr>
          <w:rFonts w:ascii="Times New Roman" w:eastAsia="Times New Roman" w:hAnsi="Times New Roman" w:cs="Times New Roman"/>
          <w:sz w:val="28"/>
          <w:szCs w:val="28"/>
          <w:lang w:eastAsia="it-IT"/>
        </w:rPr>
        <w:t>(1)</w:t>
      </w:r>
    </w:p>
    <w:p w:rsidR="00034B44" w:rsidRPr="00034B44" w:rsidRDefault="00837615" w:rsidP="00034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    </w:t>
      </w:r>
      <w:r w:rsidR="00034B44"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dipendenza del  potere rotatorio specifico dalla temperatura è: </w:t>
      </w:r>
    </w:p>
    <w:p w:rsidR="00034B44" w:rsidRDefault="00034B44" w:rsidP="00837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>[</w:t>
      </w:r>
      <w:r w:rsidRPr="00034B44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[ </w:t>
      </w:r>
      <w:r w:rsidRPr="00034B44">
        <w:rPr>
          <w:rFonts w:ascii="Cambria Math" w:eastAsia="Times New Roman" w:hAnsi="Cambria Math" w:cs="Cambria Math"/>
          <w:vanish/>
          <w:sz w:val="24"/>
          <w:szCs w:val="24"/>
          <w:lang w:eastAsia="it-IT"/>
        </w:rPr>
        <w:t>⁡</w:t>
      </w:r>
      <w:r w:rsidRPr="00034B44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 α ] t = [ α ] 20 + n ( t − 20 ) {\displaystyle \operatorname {[} \alpha ]^{t}=[\alpha ]^{20}+n(t-20)}</w:t>
      </w:r>
      <w:r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sym w:font="Symbol" w:char="F061"/>
      </w: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>]</w:t>
      </w:r>
      <w:r w:rsidRPr="00034B4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it-IT"/>
        </w:rPr>
        <w:t>t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= </w:t>
      </w: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>[</w:t>
      </w:r>
      <w:r w:rsidRPr="00034B44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[ </w:t>
      </w:r>
      <w:r w:rsidRPr="00034B44">
        <w:rPr>
          <w:rFonts w:ascii="Cambria Math" w:eastAsia="Times New Roman" w:hAnsi="Cambria Math" w:cs="Cambria Math"/>
          <w:vanish/>
          <w:sz w:val="24"/>
          <w:szCs w:val="24"/>
          <w:lang w:eastAsia="it-IT"/>
        </w:rPr>
        <w:t>⁡</w:t>
      </w:r>
      <w:r w:rsidRPr="00034B44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 α ] t = [ α ] 20 + n ( t − 20 ) {\displaystyle \operatorname {[} \alpha ]^{t}=[\alpha ]^{20}+n(t-20)}</w:t>
      </w:r>
      <w:r w:rsidRPr="00B851BF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sym w:font="Symbol" w:char="F061"/>
      </w: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>]</w:t>
      </w:r>
      <w:r w:rsidRPr="00034B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it-IT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+ k(t – 20)</w:t>
      </w:r>
    </w:p>
    <w:p w:rsidR="004E15C9" w:rsidRPr="00034B44" w:rsidRDefault="004E15C9" w:rsidP="00837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2B1B" w:rsidRDefault="00034B44" w:rsidP="00D17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dove t è la temperatura in °C e k </w:t>
      </w:r>
      <w:r w:rsidR="00CB649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coefficiente </w:t>
      </w: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temperatura caratteristic</w:t>
      </w:r>
      <w:r w:rsidR="00CB6499">
        <w:rPr>
          <w:rFonts w:ascii="Times New Roman" w:eastAsia="Times New Roman" w:hAnsi="Times New Roman" w:cs="Times New Roman"/>
          <w:sz w:val="28"/>
          <w:szCs w:val="28"/>
          <w:lang w:eastAsia="it-IT"/>
        </w:rPr>
        <w:t>o di ogni</w:t>
      </w:r>
      <w:r w:rsidRPr="00034B4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sostanza</w:t>
      </w:r>
      <w:r w:rsidR="00737D22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8E2B1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potere rotatorio specifico di vari zuccheri è riportato nella tabella seguente , espresso in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gradi </w:t>
      </w:r>
      <w:r w:rsidR="00D170FD" w:rsidRPr="00D170FD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∙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cm</w:t>
      </w:r>
      <w:r w:rsidR="00D170FD" w:rsidRPr="00D170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it-IT"/>
        </w:rPr>
        <w:t>2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>/g:</w:t>
      </w:r>
    </w:p>
    <w:p w:rsidR="00737D22" w:rsidRDefault="00737D22" w:rsidP="00D17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D170FD" w:rsidRDefault="00737D22" w:rsidP="00D17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TABELLA 1</w:t>
      </w:r>
    </w:p>
    <w:p w:rsidR="00034B44" w:rsidRDefault="00837615" w:rsidP="00D17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</w:t>
      </w:r>
      <w:r w:rsidR="008E2B1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Fruttosio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8E2B1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E2B1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-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E2B1B">
        <w:rPr>
          <w:rFonts w:ascii="Times New Roman" w:eastAsia="Times New Roman" w:hAnsi="Times New Roman" w:cs="Times New Roman"/>
          <w:sz w:val="28"/>
          <w:szCs w:val="28"/>
          <w:lang w:eastAsia="it-IT"/>
        </w:rPr>
        <w:t>92,4</w:t>
      </w:r>
    </w:p>
    <w:p w:rsidR="008E2B1B" w:rsidRDefault="008E2B1B" w:rsidP="00D17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Saccarosio 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+ 66,5</w:t>
      </w:r>
    </w:p>
    <w:p w:rsidR="008E2B1B" w:rsidRDefault="008E2B1B" w:rsidP="00D170FD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Glucosio </w:t>
      </w:r>
      <w:r w:rsidR="00D170F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+ 52,7</w:t>
      </w:r>
    </w:p>
    <w:p w:rsidR="00034B44" w:rsidRDefault="00D170FD" w:rsidP="00D170FD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Il segno + indica rotazione destrorsa per chi riceve il fascio di</w:t>
      </w:r>
      <w:r w:rsidR="00CB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luce dopo che ha attraversato la sostanza. </w:t>
      </w:r>
    </w:p>
    <w:p w:rsidR="00034B44" w:rsidRPr="00D170FD" w:rsidRDefault="00034B44" w:rsidP="00D170FD">
      <w:pPr>
        <w:pStyle w:val="NormaleWeb"/>
        <w:numPr>
          <w:ilvl w:val="0"/>
          <w:numId w:val="1"/>
        </w:numPr>
        <w:rPr>
          <w:b/>
          <w:sz w:val="28"/>
          <w:szCs w:val="28"/>
        </w:rPr>
      </w:pPr>
      <w:r w:rsidRPr="00D170FD">
        <w:rPr>
          <w:b/>
          <w:sz w:val="28"/>
          <w:szCs w:val="28"/>
        </w:rPr>
        <w:t>L’apparato</w:t>
      </w:r>
      <w:r w:rsidR="00DB219E" w:rsidRPr="00D170FD">
        <w:rPr>
          <w:b/>
          <w:sz w:val="28"/>
          <w:szCs w:val="28"/>
        </w:rPr>
        <w:t xml:space="preserve">   </w:t>
      </w:r>
      <w:r w:rsidR="0003527E" w:rsidRPr="00D170FD">
        <w:rPr>
          <w:b/>
          <w:sz w:val="28"/>
          <w:szCs w:val="28"/>
        </w:rPr>
        <w:t xml:space="preserve"> </w:t>
      </w:r>
    </w:p>
    <w:p w:rsidR="00A9120E" w:rsidRDefault="004D2C0D" w:rsidP="00FF361C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0650" w:rsidRPr="00A9120E">
        <w:rPr>
          <w:sz w:val="28"/>
          <w:szCs w:val="28"/>
        </w:rPr>
        <w:t>L’apparato</w:t>
      </w:r>
      <w:r>
        <w:rPr>
          <w:sz w:val="28"/>
          <w:szCs w:val="28"/>
        </w:rPr>
        <w:t xml:space="preserve"> fotografato in figura 1 </w:t>
      </w:r>
      <w:r w:rsidR="00310650" w:rsidRPr="00A9120E">
        <w:rPr>
          <w:sz w:val="28"/>
          <w:szCs w:val="28"/>
        </w:rPr>
        <w:t>consiste in un tubo di plexiglass trasparente del diametro esterno di 30 mm, chiuso alle estremità con finestre piane di vetro</w:t>
      </w:r>
      <w:r w:rsidRPr="004D2C0D">
        <w:rPr>
          <w:sz w:val="28"/>
          <w:szCs w:val="28"/>
          <w:vertAlign w:val="superscript"/>
        </w:rPr>
        <w:t>1</w:t>
      </w:r>
      <w:r w:rsidR="00310650" w:rsidRPr="00A9120E">
        <w:rPr>
          <w:sz w:val="28"/>
          <w:szCs w:val="28"/>
        </w:rPr>
        <w:t xml:space="preserve"> e riempito con una soluzione concentrata di fruttosio.</w:t>
      </w:r>
      <w:r w:rsidR="00CB6499">
        <w:rPr>
          <w:sz w:val="28"/>
          <w:szCs w:val="28"/>
        </w:rPr>
        <w:t xml:space="preserve"> Si è scelta </w:t>
      </w:r>
      <w:r w:rsidR="00310650" w:rsidRPr="00A9120E">
        <w:rPr>
          <w:sz w:val="28"/>
          <w:szCs w:val="28"/>
        </w:rPr>
        <w:t xml:space="preserve"> </w:t>
      </w:r>
      <w:r w:rsidR="00CB6499">
        <w:rPr>
          <w:sz w:val="28"/>
          <w:szCs w:val="28"/>
        </w:rPr>
        <w:t>u</w:t>
      </w:r>
      <w:r w:rsidR="00B851BF">
        <w:rPr>
          <w:sz w:val="28"/>
          <w:szCs w:val="28"/>
        </w:rPr>
        <w:t xml:space="preserve">na soluzione di </w:t>
      </w:r>
      <w:r w:rsidR="00310650" w:rsidRPr="00A9120E">
        <w:rPr>
          <w:sz w:val="28"/>
          <w:szCs w:val="28"/>
        </w:rPr>
        <w:t xml:space="preserve">fruttosio </w:t>
      </w:r>
      <w:r w:rsidR="00CB6499">
        <w:rPr>
          <w:sz w:val="28"/>
          <w:szCs w:val="28"/>
        </w:rPr>
        <w:t>per il fatto che fra gli zuccheri facilmente reperibili ha il più alto potere rotatorio specifico. La concentrazione usata è di circa 1 g/cm</w:t>
      </w:r>
      <w:r w:rsidR="00CB6499" w:rsidRPr="00CB6499">
        <w:rPr>
          <w:sz w:val="28"/>
          <w:szCs w:val="28"/>
          <w:vertAlign w:val="superscript"/>
        </w:rPr>
        <w:t>3</w:t>
      </w:r>
      <w:r w:rsidR="00CB6499">
        <w:rPr>
          <w:sz w:val="28"/>
          <w:szCs w:val="28"/>
        </w:rPr>
        <w:t xml:space="preserve">  (1kg/litro), e ciò che si ottiene è uno sciroppo assai denso.  </w:t>
      </w:r>
      <w:r>
        <w:rPr>
          <w:sz w:val="28"/>
          <w:szCs w:val="28"/>
        </w:rPr>
        <w:t xml:space="preserve">Le finestre e il sistema di raccordo per il riempimento del tubo e per la compensazione della dilatazione termica della soluzione sono incollati con resina epossidica a due componenti. </w:t>
      </w:r>
    </w:p>
    <w:p w:rsidR="004D2C0D" w:rsidRDefault="004D2C0D" w:rsidP="00FF361C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Il laser usato</w:t>
      </w:r>
      <w:r w:rsidRPr="004D2C0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emette nel rosso a circa 640 nm con una potenza di 150 </w:t>
      </w:r>
      <w:proofErr w:type="spellStart"/>
      <w:r>
        <w:rPr>
          <w:sz w:val="28"/>
          <w:szCs w:val="28"/>
        </w:rPr>
        <w:t>mW</w:t>
      </w:r>
      <w:proofErr w:type="spellEnd"/>
      <w:r>
        <w:rPr>
          <w:sz w:val="28"/>
          <w:szCs w:val="28"/>
        </w:rPr>
        <w:t xml:space="preserve">.  </w:t>
      </w:r>
      <w:r w:rsidR="00805F1A">
        <w:rPr>
          <w:sz w:val="28"/>
          <w:szCs w:val="28"/>
        </w:rPr>
        <w:t>Per allinearlo e</w:t>
      </w:r>
      <w:r>
        <w:rPr>
          <w:sz w:val="28"/>
          <w:szCs w:val="28"/>
        </w:rPr>
        <w:t xml:space="preserve">sso è montato </w:t>
      </w:r>
      <w:r w:rsidR="00805F1A">
        <w:rPr>
          <w:sz w:val="28"/>
          <w:szCs w:val="28"/>
        </w:rPr>
        <w:t xml:space="preserve">su un supporto </w:t>
      </w:r>
      <w:proofErr w:type="spellStart"/>
      <w:r w:rsidR="00805F1A">
        <w:rPr>
          <w:sz w:val="28"/>
          <w:szCs w:val="28"/>
        </w:rPr>
        <w:t>basculabile</w:t>
      </w:r>
      <w:proofErr w:type="spellEnd"/>
      <w:r w:rsidR="00805F1A">
        <w:rPr>
          <w:sz w:val="28"/>
          <w:szCs w:val="28"/>
        </w:rPr>
        <w:t xml:space="preserve"> con tre viti e tre molle </w:t>
      </w:r>
      <w:r>
        <w:rPr>
          <w:sz w:val="28"/>
          <w:szCs w:val="28"/>
        </w:rPr>
        <w:t>su</w:t>
      </w:r>
      <w:r w:rsidR="00805F1A">
        <w:rPr>
          <w:sz w:val="28"/>
          <w:szCs w:val="28"/>
        </w:rPr>
        <w:t>l</w:t>
      </w:r>
      <w:r>
        <w:rPr>
          <w:sz w:val="28"/>
          <w:szCs w:val="28"/>
        </w:rPr>
        <w:t xml:space="preserve"> supporto </w:t>
      </w:r>
      <w:r w:rsidR="00805F1A">
        <w:rPr>
          <w:sz w:val="28"/>
          <w:szCs w:val="28"/>
        </w:rPr>
        <w:t xml:space="preserve">fisso posizionato ad una estremità del tubo e in modo che il fascio laser cada approssimativamente al centro della finestra di ingresso del tubo. Il dettaglio può essere visto nella figura 2.   </w:t>
      </w:r>
    </w:p>
    <w:p w:rsidR="00FF361C" w:rsidRDefault="00FF361C" w:rsidP="00FF361C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La figura 3 mostra, in una fotografia scattata lateralmente, l’intensità della luce diffusa da parte della soluzione di fruttosio. </w:t>
      </w:r>
      <w:r w:rsidR="002A492E">
        <w:rPr>
          <w:sz w:val="28"/>
          <w:szCs w:val="28"/>
        </w:rPr>
        <w:t xml:space="preserve">La diffusione è originata sia da molte piccolissime bolle di aria inglobate nella soluzione che da vera e propria diffusione da parte delle molecole. A parte le bolle il fascio di luce laser appare molto uniforme. </w:t>
      </w:r>
      <w:r>
        <w:rPr>
          <w:sz w:val="28"/>
          <w:szCs w:val="28"/>
        </w:rPr>
        <w:t xml:space="preserve">Le zone di massima larghezza sono quelle dove il campo elettrico visto dall’osservatore è verticale, cosa che può essere immediatamente verificata con l’osservazione attraverso un piccolo rettangolo di Polaroid, mentre le zone dove la luce diffusa è minima sono quelle nelle quali il piano è ruotato di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90° rispetto alle precedenti, e quindi  giace nel piano individuato dall’asse del tubo e dalla congiungente l’occhio con quella zona del tubo.</w:t>
      </w:r>
    </w:p>
    <w:p w:rsidR="00034B44" w:rsidRDefault="00034B44" w:rsidP="00A9120E">
      <w:pPr>
        <w:pStyle w:val="NormaleWeb"/>
        <w:rPr>
          <w:sz w:val="28"/>
          <w:szCs w:val="28"/>
        </w:rPr>
      </w:pPr>
    </w:p>
    <w:p w:rsidR="00737D22" w:rsidRDefault="00737D22" w:rsidP="00737D22">
      <w:pPr>
        <w:pStyle w:val="NormaleWeb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A15A185" wp14:editId="1AE23606">
            <wp:extent cx="6120130" cy="1194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DERE_e_DELLA_LUCE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D22" w:rsidRDefault="00737D22" w:rsidP="00737D22">
      <w:pPr>
        <w:pStyle w:val="NormaleWeb"/>
        <w:jc w:val="center"/>
        <w:rPr>
          <w:sz w:val="28"/>
          <w:szCs w:val="28"/>
        </w:rPr>
      </w:pPr>
      <w:r>
        <w:rPr>
          <w:sz w:val="28"/>
          <w:szCs w:val="28"/>
        </w:rPr>
        <w:t>Figura 1.</w:t>
      </w:r>
    </w:p>
    <w:p w:rsidR="00034B44" w:rsidRDefault="00737D22" w:rsidP="00737D22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9F9">
        <w:rPr>
          <w:sz w:val="28"/>
          <w:szCs w:val="28"/>
        </w:rPr>
        <w:t xml:space="preserve">Così quello che vediamo è proprio la direzione del vettore elettrico del raggio di luce che percorre il tubo. </w:t>
      </w:r>
    </w:p>
    <w:p w:rsidR="00457430" w:rsidRDefault="001C79F9" w:rsidP="00737D22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La distanza fra due minimi, corrispondente ad una rotazione di 180° del piano di polarizzazione della luce è facilmente misurabile, e nel caso </w:t>
      </w:r>
      <w:r w:rsidR="00737D22">
        <w:rPr>
          <w:sz w:val="28"/>
          <w:szCs w:val="28"/>
        </w:rPr>
        <w:t>della figura</w:t>
      </w:r>
      <w:r>
        <w:rPr>
          <w:sz w:val="28"/>
          <w:szCs w:val="28"/>
        </w:rPr>
        <w:t xml:space="preserve"> è di circa 20 cm.  Questo </w:t>
      </w:r>
      <w:r w:rsidR="00457430">
        <w:rPr>
          <w:sz w:val="28"/>
          <w:szCs w:val="28"/>
        </w:rPr>
        <w:t>fornisce tramite la (1) il valore del potere rotatorio specifico per la soluzione dello zucchero usato</w:t>
      </w:r>
      <w:r w:rsidR="009A0E62">
        <w:rPr>
          <w:sz w:val="28"/>
          <w:szCs w:val="28"/>
        </w:rPr>
        <w:t xml:space="preserve">, </w:t>
      </w:r>
      <w:r w:rsidR="00457430">
        <w:rPr>
          <w:sz w:val="28"/>
          <w:szCs w:val="28"/>
        </w:rPr>
        <w:t xml:space="preserve"> per la luce laser di 640 nm di lunghezza d’onda e alla temperatura di 20°:</w:t>
      </w:r>
    </w:p>
    <w:p w:rsidR="00457430" w:rsidRDefault="00457430" w:rsidP="00457430">
      <w:pPr>
        <w:pStyle w:val="NormaleWeb"/>
        <w:jc w:val="center"/>
        <w:rPr>
          <w:sz w:val="28"/>
          <w:szCs w:val="28"/>
        </w:rPr>
      </w:pPr>
      <w:r>
        <w:rPr>
          <w:sz w:val="28"/>
          <w:szCs w:val="28"/>
        </w:rPr>
        <w:t>[</w:t>
      </w:r>
      <w:r w:rsidRPr="00B851BF">
        <w:rPr>
          <w:i/>
          <w:sz w:val="32"/>
          <w:szCs w:val="32"/>
        </w:rPr>
        <w:sym w:font="Symbol" w:char="F061"/>
      </w:r>
      <w:r>
        <w:rPr>
          <w:sz w:val="32"/>
          <w:szCs w:val="32"/>
        </w:rPr>
        <w:t>]</w:t>
      </w:r>
      <w:r w:rsidRPr="00457430">
        <w:rPr>
          <w:sz w:val="32"/>
          <w:szCs w:val="32"/>
          <w:vertAlign w:val="subscript"/>
        </w:rPr>
        <w:t>640</w:t>
      </w:r>
      <w:r w:rsidRPr="00457430"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Symbol" w:char="F040"/>
      </w:r>
      <w:r>
        <w:rPr>
          <w:sz w:val="32"/>
          <w:szCs w:val="32"/>
        </w:rPr>
        <w:t xml:space="preserve"> 90 </w:t>
      </w:r>
      <w:r>
        <w:rPr>
          <w:sz w:val="28"/>
          <w:szCs w:val="28"/>
        </w:rPr>
        <w:t xml:space="preserve">gradi </w:t>
      </w:r>
      <w:r w:rsidRPr="00D170FD">
        <w:rPr>
          <w:i/>
          <w:sz w:val="32"/>
          <w:szCs w:val="32"/>
        </w:rPr>
        <w:t>∙</w:t>
      </w:r>
      <w:r>
        <w:rPr>
          <w:sz w:val="28"/>
          <w:szCs w:val="28"/>
        </w:rPr>
        <w:t xml:space="preserve"> cm</w:t>
      </w:r>
      <w:r w:rsidRPr="00D170F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/g</w:t>
      </w:r>
    </w:p>
    <w:p w:rsidR="00457430" w:rsidRDefault="00457430" w:rsidP="00457430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 xml:space="preserve">il cui segno non possiamo apprezzare, ma </w:t>
      </w:r>
      <w:r w:rsidR="009A0E62">
        <w:rPr>
          <w:sz w:val="28"/>
          <w:szCs w:val="28"/>
        </w:rPr>
        <w:t xml:space="preserve">di </w:t>
      </w:r>
      <w:r w:rsidR="00452CDA">
        <w:rPr>
          <w:sz w:val="28"/>
          <w:szCs w:val="28"/>
        </w:rPr>
        <w:t xml:space="preserve">valore </w:t>
      </w:r>
      <w:r>
        <w:rPr>
          <w:sz w:val="28"/>
          <w:szCs w:val="28"/>
        </w:rPr>
        <w:t>vicino a quello riportato in letteratura</w:t>
      </w:r>
      <w:r w:rsidR="00737D22">
        <w:rPr>
          <w:sz w:val="28"/>
          <w:szCs w:val="28"/>
        </w:rPr>
        <w:t xml:space="preserve"> (Tabella 1)</w:t>
      </w:r>
      <w:r>
        <w:rPr>
          <w:sz w:val="28"/>
          <w:szCs w:val="28"/>
        </w:rPr>
        <w:t xml:space="preserve">, con tutte le incertezze sulla concentrazione, sulla accuratezza della determinazione della distanza fra i minimi e soprattutto per </w:t>
      </w:r>
      <w:r w:rsidR="00452CDA">
        <w:rPr>
          <w:sz w:val="28"/>
          <w:szCs w:val="28"/>
        </w:rPr>
        <w:t xml:space="preserve">la mancanza nelle tabelle del </w:t>
      </w:r>
      <w:r>
        <w:rPr>
          <w:sz w:val="28"/>
          <w:szCs w:val="28"/>
        </w:rPr>
        <w:t>valore del potere rotatorio specifico per il rosso.</w:t>
      </w:r>
    </w:p>
    <w:p w:rsidR="00452CDA" w:rsidRPr="009A0E62" w:rsidRDefault="00452CDA" w:rsidP="00452CDA">
      <w:pPr>
        <w:pStyle w:val="NormaleWeb"/>
        <w:numPr>
          <w:ilvl w:val="0"/>
          <w:numId w:val="1"/>
        </w:numPr>
        <w:rPr>
          <w:b/>
          <w:sz w:val="28"/>
          <w:szCs w:val="28"/>
        </w:rPr>
      </w:pPr>
      <w:r w:rsidRPr="009A0E62">
        <w:rPr>
          <w:b/>
          <w:sz w:val="28"/>
          <w:szCs w:val="28"/>
        </w:rPr>
        <w:t>Conclusioni</w:t>
      </w:r>
    </w:p>
    <w:p w:rsidR="00452CDA" w:rsidRDefault="009A0E62" w:rsidP="007D4A3D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CDA">
        <w:rPr>
          <w:sz w:val="28"/>
          <w:szCs w:val="28"/>
        </w:rPr>
        <w:t xml:space="preserve">La possibilità di vedere il campo elettrico di un raggio di luce, entità  astratta  </w:t>
      </w:r>
      <w:r>
        <w:rPr>
          <w:sz w:val="28"/>
          <w:szCs w:val="28"/>
        </w:rPr>
        <w:t>alla</w:t>
      </w:r>
      <w:r w:rsidR="00452CDA">
        <w:rPr>
          <w:sz w:val="28"/>
          <w:szCs w:val="28"/>
        </w:rPr>
        <w:t xml:space="preserve"> quale nel senso comune non si</w:t>
      </w:r>
      <w:r>
        <w:rPr>
          <w:sz w:val="28"/>
          <w:szCs w:val="28"/>
        </w:rPr>
        <w:t xml:space="preserve"> associa la concretezza  </w:t>
      </w:r>
      <w:r w:rsidR="007D4A3D">
        <w:rPr>
          <w:sz w:val="28"/>
          <w:szCs w:val="28"/>
        </w:rPr>
        <w:t>della “</w:t>
      </w:r>
      <w:proofErr w:type="spellStart"/>
      <w:r w:rsidR="007D4A3D">
        <w:rPr>
          <w:sz w:val="28"/>
          <w:szCs w:val="28"/>
        </w:rPr>
        <w:t>visuabilizzabilità</w:t>
      </w:r>
      <w:proofErr w:type="spellEnd"/>
      <w:r w:rsidR="007D4A3D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rende a nostro parere affascinante questo semplice apparecchio e questo esperimento. A nostra conoscenza  essi sono originali.   </w:t>
      </w:r>
    </w:p>
    <w:p w:rsidR="00F87300" w:rsidRDefault="007D4A3D" w:rsidP="00AE4C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D2C0D" w:rsidRPr="00F03291">
        <w:rPr>
          <w:b/>
          <w:sz w:val="28"/>
          <w:szCs w:val="28"/>
        </w:rPr>
        <w:t>Note</w:t>
      </w:r>
    </w:p>
    <w:p w:rsidR="00F03291" w:rsidRPr="00F03291" w:rsidRDefault="00F03291" w:rsidP="00737D22">
      <w:pPr>
        <w:spacing w:after="0"/>
        <w:rPr>
          <w:sz w:val="28"/>
          <w:szCs w:val="28"/>
        </w:rPr>
      </w:pPr>
      <w:r w:rsidRPr="00F03291">
        <w:rPr>
          <w:sz w:val="28"/>
          <w:szCs w:val="28"/>
        </w:rPr>
        <w:t xml:space="preserve">1. </w:t>
      </w:r>
      <w:r>
        <w:rPr>
          <w:sz w:val="28"/>
          <w:szCs w:val="28"/>
        </w:rPr>
        <w:t>Le finestre sono dei vetri piani per orologio da polso</w:t>
      </w:r>
      <w:r w:rsidR="001C79F9">
        <w:rPr>
          <w:sz w:val="28"/>
          <w:szCs w:val="28"/>
        </w:rPr>
        <w:t xml:space="preserve">, diametro 30,5 mm, </w:t>
      </w:r>
      <w:r>
        <w:rPr>
          <w:sz w:val="28"/>
          <w:szCs w:val="28"/>
        </w:rPr>
        <w:t>che si possono acquistare dai fornitori di articoli per orologiai, oppure</w:t>
      </w:r>
      <w:r w:rsidR="001C79F9">
        <w:rPr>
          <w:sz w:val="28"/>
          <w:szCs w:val="28"/>
        </w:rPr>
        <w:t xml:space="preserve"> al prezzo di 2,55 euro più spese di spedizione</w:t>
      </w:r>
      <w:r>
        <w:rPr>
          <w:sz w:val="28"/>
          <w:szCs w:val="28"/>
        </w:rPr>
        <w:t xml:space="preserve"> presso: </w:t>
      </w:r>
      <w:r w:rsidR="001C79F9" w:rsidRPr="001C79F9">
        <w:rPr>
          <w:sz w:val="28"/>
          <w:szCs w:val="28"/>
        </w:rPr>
        <w:t>https://www.ebay.it/itm/Watch-Glass-Mineral-Crystal-Flat-Round-1-5-mm-thick-range-17-1-mm-to-40mm/122383018560?ssPageName=STRK%3AMEBIDX%3AIT&amp;var=422862539735&amp;_trksid=p2060353.m2749.l2649</w:t>
      </w:r>
    </w:p>
    <w:p w:rsidR="00805F1A" w:rsidRPr="001C79F9" w:rsidRDefault="004D2C0D" w:rsidP="00737D22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3643">
        <w:rPr>
          <w:sz w:val="28"/>
          <w:szCs w:val="28"/>
        </w:rPr>
        <w:t xml:space="preserve">Fra i tanti laser con alimentatore, vedi per esempio, con potenza di </w:t>
      </w:r>
      <w:r w:rsidR="00034B44">
        <w:rPr>
          <w:sz w:val="28"/>
          <w:szCs w:val="28"/>
        </w:rPr>
        <w:t xml:space="preserve"> 150 </w:t>
      </w:r>
      <w:proofErr w:type="spellStart"/>
      <w:r w:rsidR="00034B44">
        <w:rPr>
          <w:sz w:val="28"/>
          <w:szCs w:val="28"/>
        </w:rPr>
        <w:t>mW</w:t>
      </w:r>
      <w:proofErr w:type="spellEnd"/>
      <w:r w:rsidR="00D13643">
        <w:rPr>
          <w:sz w:val="28"/>
          <w:szCs w:val="28"/>
        </w:rPr>
        <w:t>,</w:t>
      </w:r>
      <w:r w:rsidR="00805F1A">
        <w:rPr>
          <w:sz w:val="28"/>
          <w:szCs w:val="28"/>
        </w:rPr>
        <w:t xml:space="preserve"> </w:t>
      </w:r>
      <w:r w:rsidR="001C79F9">
        <w:rPr>
          <w:sz w:val="28"/>
          <w:szCs w:val="28"/>
        </w:rPr>
        <w:t xml:space="preserve">al </w:t>
      </w:r>
      <w:r>
        <w:rPr>
          <w:sz w:val="28"/>
          <w:szCs w:val="28"/>
        </w:rPr>
        <w:t xml:space="preserve">prezzo </w:t>
      </w:r>
      <w:r w:rsidR="00D13643">
        <w:rPr>
          <w:sz w:val="28"/>
          <w:szCs w:val="28"/>
        </w:rPr>
        <w:t xml:space="preserve">10,97 </w:t>
      </w:r>
      <w:r>
        <w:rPr>
          <w:sz w:val="28"/>
          <w:szCs w:val="28"/>
        </w:rPr>
        <w:t>euro</w:t>
      </w:r>
      <w:r w:rsidR="00D13643">
        <w:rPr>
          <w:sz w:val="28"/>
          <w:szCs w:val="28"/>
        </w:rPr>
        <w:t xml:space="preserve"> da una ditta cinese</w:t>
      </w:r>
      <w:r>
        <w:rPr>
          <w:sz w:val="28"/>
          <w:szCs w:val="28"/>
        </w:rPr>
        <w:t xml:space="preserve">: </w:t>
      </w:r>
      <w:hyperlink r:id="rId14" w:history="1">
        <w:r w:rsidR="00805F1A" w:rsidRPr="001C79F9">
          <w:rPr>
            <w:rStyle w:val="Collegamentoipertestuale"/>
            <w:color w:val="000000" w:themeColor="text1"/>
            <w:sz w:val="28"/>
            <w:szCs w:val="28"/>
            <w:u w:val="none"/>
          </w:rPr>
          <w:t>https://www.ebay.it/itm/150mW-650nm-660nm-Red-Laser-Module-Diode-655nm-With-12V-TTL-Industrial-Focusable/152601883957?hash=item2387c7f535:g:tn8AAOSw8d5ZUh5A</w:t>
        </w:r>
      </w:hyperlink>
      <w:r w:rsidR="00FF361C" w:rsidRPr="001C79F9">
        <w:rPr>
          <w:color w:val="000000" w:themeColor="text1"/>
          <w:sz w:val="28"/>
          <w:szCs w:val="28"/>
        </w:rPr>
        <w:t xml:space="preserve"> .</w:t>
      </w:r>
    </w:p>
    <w:p w:rsidR="00E6235D" w:rsidRPr="00E6235D" w:rsidRDefault="00805F1A" w:rsidP="00737D2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Con l’unico svantaggio che occorre aspettare più di un mese per averlo.</w:t>
      </w:r>
      <w:r w:rsidR="00F87300">
        <w:rPr>
          <w:sz w:val="28"/>
          <w:szCs w:val="28"/>
        </w:rPr>
        <w:t xml:space="preserve">  </w:t>
      </w:r>
    </w:p>
    <w:p w:rsidR="00E6235D" w:rsidRPr="00E6235D" w:rsidRDefault="00E6235D">
      <w:pPr>
        <w:jc w:val="center"/>
        <w:rPr>
          <w:b/>
          <w:sz w:val="28"/>
          <w:szCs w:val="28"/>
        </w:rPr>
      </w:pPr>
    </w:p>
    <w:sectPr w:rsidR="00E6235D" w:rsidRPr="00E62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17FCE"/>
    <w:multiLevelType w:val="hybridMultilevel"/>
    <w:tmpl w:val="30B4E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5D"/>
    <w:rsid w:val="00034B44"/>
    <w:rsid w:val="0003527E"/>
    <w:rsid w:val="000B1D09"/>
    <w:rsid w:val="00194A7B"/>
    <w:rsid w:val="001C79F9"/>
    <w:rsid w:val="001D6719"/>
    <w:rsid w:val="002A492E"/>
    <w:rsid w:val="002F199F"/>
    <w:rsid w:val="00310650"/>
    <w:rsid w:val="003112D2"/>
    <w:rsid w:val="00393712"/>
    <w:rsid w:val="00452CDA"/>
    <w:rsid w:val="00457430"/>
    <w:rsid w:val="004D2C0D"/>
    <w:rsid w:val="004E15C9"/>
    <w:rsid w:val="004E2FC0"/>
    <w:rsid w:val="00737D22"/>
    <w:rsid w:val="007D4A3D"/>
    <w:rsid w:val="00805F1A"/>
    <w:rsid w:val="00837615"/>
    <w:rsid w:val="008A58B1"/>
    <w:rsid w:val="008E2B1B"/>
    <w:rsid w:val="009A0E62"/>
    <w:rsid w:val="009C46E6"/>
    <w:rsid w:val="00A65B28"/>
    <w:rsid w:val="00A9120E"/>
    <w:rsid w:val="00AE4C5E"/>
    <w:rsid w:val="00B851BF"/>
    <w:rsid w:val="00C503D9"/>
    <w:rsid w:val="00CB6499"/>
    <w:rsid w:val="00D13643"/>
    <w:rsid w:val="00D170FD"/>
    <w:rsid w:val="00D636F7"/>
    <w:rsid w:val="00D81E35"/>
    <w:rsid w:val="00DB219E"/>
    <w:rsid w:val="00DB5280"/>
    <w:rsid w:val="00E6235D"/>
    <w:rsid w:val="00F03291"/>
    <w:rsid w:val="00F87300"/>
    <w:rsid w:val="00FD53D1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9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A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A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065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912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9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e-math-mathml-inline">
    <w:name w:val="mwe-math-mathml-inline"/>
    <w:basedOn w:val="Carpredefinitoparagrafo"/>
    <w:rsid w:val="00035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9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A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A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065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912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9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e-math-mathml-inline">
    <w:name w:val="mwe-math-mathml-inline"/>
    <w:basedOn w:val="Carpredefinitoparagrafo"/>
    <w:rsid w:val="0003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fera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it.wikipedia.org/wiki/Elettromagnetismo" TargetMode="External"/><Relationship Id="rId12" Type="http://schemas.openxmlformats.org/officeDocument/2006/relationships/hyperlink" Target="https://it.wikipedia.org/wiki/Jean-Baptiste_Bi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Scattering" TargetMode="External"/><Relationship Id="rId11" Type="http://schemas.openxmlformats.org/officeDocument/2006/relationships/hyperlink" Target="https://it.wikipedia.org/wiki/Indice_di_rifrazio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Birifrang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Ottica" TargetMode="External"/><Relationship Id="rId14" Type="http://schemas.openxmlformats.org/officeDocument/2006/relationships/hyperlink" Target="https://www.ebay.it/itm/150mW-650nm-660nm-Red-Laser-Module-Diode-655nm-With-12V-TTL-Industrial-Focusable/152601883957?hash=item2387c7f535:g:tn8AAOSw8d5ZUh5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2018-03-15T10:58:00Z</dcterms:created>
  <dcterms:modified xsi:type="dcterms:W3CDTF">2018-04-09T11:42:00Z</dcterms:modified>
</cp:coreProperties>
</file>